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переписи.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 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Разработка итогов Всероссийской переписи населения 2020 года произведена по муниципальным образованиям РСО-Алания по состоянию на 1 октября 2021 года.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РСО-Алания: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республики постоянно (в течение 12 и более месяцев подряд);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граждане РСО-  Алания, находящиеся за пределами республики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лица, постоянно проживающие в РСО-Алания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 РСО-Алания из-за рубежа на постоянное жительство или ищущие убежище, включая и тех из них, кто не успел оформить регистрационные документы;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 РСО-Алания из-за рубежа на учебу, работу или с другой целью на срок один год и более (независимо от того, сколько времени они пробыли в стране и сколько им осталось, находиться в России).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РСО-Алания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РСО-Алания на учебу или работу на срок менее 1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выехали и сколько им осталось находиться за рубежом);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сторожка, коттедж или другое одноквартирное строение);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в) комната в общежитии (неквартирного типа);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хозблок, баржа и т.п.);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 и т.п.), в казармах, местах заключения, религиозных организациях.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 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2) Граждане России, выехавшие в длительные служебные командировки (на 1 год и более) за границу по линии органов государственной власти Российской Федерации, и находившиеся вместе с ними члены их семей, переписывались по месту их нахождения. Численность этой категории населения представлена в таблице 1 тома 1.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7)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8)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9) Постоянно проживавшие в РСО-Алания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10) Лица (независимо от их гражданства), прибывшие в РСО-Алания на срок 1 год и более на работу по контрактам c российскими и иностранными организациями (кроме иностранных граждан, работавших в 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11) Лица (независимо от их гражданства), прибывшие из зарубежных стран в РСО-Алания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РСО-Алания в том месте, где их 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12) В гостиницах, больницах, домах отдыха, санаториях и т. п. переписывались только те лица, которые не имели другого места жительства.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13) Лица, не имевшие постоянного места жительства (например, бездомные), переписывались там, где их застала перепись.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перечисленные категории населения (кроме категории, указанной в пункте 2) вместе с населением, переписанным по месту своего постоянного (обычного) жительства, составили численность постоянного населения РСО-Алания, находившегося на территории страны.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РСО-Алания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РСО-Алания.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РСО-Алания на дату переписи, но постоянно проживавшие за рубежом, были переписаны по краткой программе (форма В).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слов, опрашиваемых без предъявления каких- либо документов, подтверждающих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 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 постоянно проживающим за рубежом.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 правильности переписи. Люди, пропущенные в ходе переписи и выявленные во время контрольного обхода, вносились в переписные листы, а ошибочно переписанные исключались из них.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РСО-Алания, находившемуся на дату переписи на территории страны (далее - постоянное население). Только в 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 указавших ответа. 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были обязательными для заполнения, любой другой вопрос можно было оставить без ответа. Около </w:t>
      </w:r>
      <w:r>
        <w:rPr>
          <w:rFonts w:ascii="Times New Roman" w:hAnsi="Times New Roman" w:cs="Times New Roman"/>
          <w:sz w:val="26"/>
          <w:szCs w:val="26"/>
        </w:rPr>
        <w:t>23 тыс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человек учтены в переписи только по 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 которых данные были получены из административных источников по причине их отказа от участия в переписи или отсутствия дома в течение всего периода сбора сведений о населении.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Источники сре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уществованию.</w:t>
      </w:r>
      <w:r>
        <w:rPr>
          <w:rFonts w:ascii="Times New Roman" w:hAnsi="Times New Roman" w:cs="Times New Roman"/>
          <w:sz w:val="26"/>
          <w:szCs w:val="26"/>
        </w:rPr>
        <w:t xml:space="preserve"> Данные об источниках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sz w:val="26"/>
          <w:szCs w:val="26"/>
        </w:rPr>
        <w:t>уществованию получены на основе ответов населения на вопрос 17 «Укажите все имеющиеся у Вас источники средств к существованию» переписного листа формы Л. Вопрос содержал перечень вариантов ответов, из которых опрашиваемые выбирали все имеющиеся у них источники средств к существованию: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lastRenderedPageBreak/>
        <w:t>Заработная плата</w:t>
      </w:r>
      <w:r>
        <w:rPr>
          <w:rFonts w:ascii="Times New Roman" w:hAnsi="Times New Roman" w:cs="Times New Roman"/>
          <w:sz w:val="26"/>
          <w:szCs w:val="26"/>
        </w:rPr>
        <w:t xml:space="preserve"> – отмечалась тем, кто получает вознаграждение 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за классный чин и т.п.).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Этот источник отмечался и в случае, если на момент переписи работающий человек находился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Предпринимательский доход,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самозанятость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отмечалось тем, кто имеет доход от предпринимательской (коммерческой) деятельности (собственного бизнеса, своего дела); сюда же включены гранты,  денежное вознаграждение писателям, художникам, адвокатам.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Отмечался  тем, кто ведет самостоятельно трудовую деятельность и зарегистрирован как индивидуальный предприниматель, а также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>
        <w:rPr>
          <w:rFonts w:ascii="Times New Roman" w:hAnsi="Times New Roman" w:cs="Times New Roman"/>
          <w:sz w:val="26"/>
          <w:szCs w:val="26"/>
        </w:rPr>
        <w:t>, работающим без регистрации в качестве индивидуального предпринимателя и без наемных работников. Этот источник отмечался и тем, кто ведет фермерское хозяйство, а также занятым в личном подсобном хозяйстве выращиванием сельскохозяйственной продукции, животных и птицы для продажи или обмена. Доход от использования имущества не относится к данному источнику.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Производство товаров для собственного использования – </w:t>
      </w:r>
      <w:r>
        <w:rPr>
          <w:rFonts w:ascii="Times New Roman" w:hAnsi="Times New Roman" w:cs="Times New Roman"/>
          <w:sz w:val="26"/>
          <w:szCs w:val="26"/>
        </w:rPr>
        <w:t>отмечалось тем, кто занят в своих подсобных хозяйствах (включая дачи, сады, огороды 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Детям в возрасте 14 лет и более, помогающим в личном подсобном хозяйстве, отмечался этот вариант ответа.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Пенсия (кроме пенсии по инвалидности) </w:t>
      </w:r>
      <w:r>
        <w:rPr>
          <w:rFonts w:ascii="Times New Roman" w:hAnsi="Times New Roman" w:cs="Times New Roman"/>
          <w:sz w:val="26"/>
          <w:szCs w:val="26"/>
        </w:rPr>
        <w:t>– отмечалась тем, кто получает пенсию по старости (по возрасту), социальную пенсию или пенсию по случаю потери кормильца, за выслугу лет (например, военнослужащим, федеральным государственным гражданским служащим и т.п.). 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отмечались.  Пенсия по случаю потери кормильца, назначенная на ребенка, отмечалась ребенку, а не матери, даже если она выдается матери.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Пенсия по инвалидности </w:t>
      </w:r>
      <w:r>
        <w:rPr>
          <w:rFonts w:ascii="Times New Roman" w:hAnsi="Times New Roman" w:cs="Times New Roman"/>
          <w:sz w:val="26"/>
          <w:szCs w:val="26"/>
        </w:rPr>
        <w:t xml:space="preserve">– отмечалась тем, кому назначена пенсия по инвалидности (даже если ее фактически получает другое лицо). Людям, получающим две пенсии – по старости и по инвалидности – отмечались оба варианта.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Пособие по безработице </w:t>
      </w:r>
      <w:r>
        <w:rPr>
          <w:rFonts w:ascii="Times New Roman" w:hAnsi="Times New Roman" w:cs="Times New Roman"/>
          <w:sz w:val="26"/>
          <w:szCs w:val="26"/>
        </w:rPr>
        <w:t xml:space="preserve">– отмечалось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зарегистрированным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 xml:space="preserve">Другие пособия и выплаты от организаций, государства </w:t>
      </w:r>
      <w:r>
        <w:rPr>
          <w:rFonts w:ascii="Times New Roman" w:hAnsi="Times New Roman" w:cs="Times New Roman"/>
          <w:sz w:val="26"/>
          <w:szCs w:val="26"/>
        </w:rPr>
        <w:t xml:space="preserve">– отмечались тем, кому назначены единовременные, ежемесячные пособия и другие регулярные выплаты, такие как пособие на период отпуска по уходу за ребенком (до </w:t>
      </w:r>
      <w:r>
        <w:rPr>
          <w:rFonts w:ascii="Times New Roman" w:hAnsi="Times New Roman" w:cs="Times New Roman"/>
          <w:sz w:val="26"/>
          <w:szCs w:val="26"/>
        </w:rPr>
        <w:lastRenderedPageBreak/>
        <w:t>достижения им возраста 1,5 лет); выплаты на детей от 1,5 до 3 лет; пособия и выплаты опекуну (попечителю) на содержание детей, находящихся  под опекой (попечительством);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единовременные региональные пособия и выплаты в связи с рождением ребенка (в том числе молодым семьям, малообеспеченным семьям  и т.п.); выплаты и пособия беременным женщинам; ежемесячные пособия детям; ежемесячные пособия женам (мужьям) военнослужащих, проходящих военную службу </w:t>
      </w:r>
      <w:r>
        <w:rPr>
          <w:rFonts w:ascii="Times New Roman" w:hAnsi="Times New Roman" w:cs="Times New Roman"/>
          <w:sz w:val="26"/>
          <w:szCs w:val="26"/>
        </w:rPr>
        <w:br/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материнский капитал при рождении (усыновлении) второго и последующих детей; выплаты лицам (кроме пенсии и пенсии по инвалидности), оказавшимся в зоне влияния неблагоприятных факторов, возникших вследствие катастрофы на Чернобыльской АЭС 26 апреля 1986 года, либо принимавшим участие в ликвидации последствий этой катастрофы. Этот источник отмечался воспитанникам детских домов, учащимся школ-интернатов, живущим в домах-интернатах для престарелых и инвалидов, и т.п. лицам, находящимся на обеспечении государства. Также этот вариант ответа отмечался лицам, получающим регулярную помощь (деньгами, вещами, продуктами питания) от организаций, благотворительных фондов и т.п.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Льготы, компенсации, субсидии, выигрыши</w:t>
      </w:r>
      <w:r>
        <w:rPr>
          <w:rFonts w:ascii="Times New Roman" w:hAnsi="Times New Roman" w:cs="Times New Roman"/>
          <w:sz w:val="26"/>
          <w:szCs w:val="26"/>
        </w:rPr>
        <w:t xml:space="preserve"> – отмечались 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 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а также аспирантам, обучающимся с отрывом от производства;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получающим субсидии на оплату жилого помещения и коммунальных услуг;  получающим компенсации части родительской платы за содержание ребенка в дошкольной образовательной организации; имеющим льготы на питание и пользование общественным транспортом лицам, обучающимся в образовательных организациях; имеющим страховые возмещения, выплачиваемые страховыми компаниями при наступлении страхового случая; имеющим возвращенный налог на доходы физических лиц (имущественные вычеты, на медицинские услуги, на образование);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получившим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единовременные поступления в виде выигрышей, наследства и т.д.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Указанные населением источники пенсии, пособия, льготы, компенсации, субсидии, выигрыши, прочие выплаты от организаций, государства – пять описанных выше вариантов ответа в переписном листе – в таблицах объединены в графу </w:t>
      </w:r>
      <w:r>
        <w:rPr>
          <w:rFonts w:ascii="Times New Roman" w:hAnsi="Times New Roman" w:cs="Times New Roman"/>
          <w:i/>
          <w:sz w:val="26"/>
          <w:szCs w:val="26"/>
        </w:rPr>
        <w:t>«пенсии, пособия и другие выплаты от организаций, государства».</w:t>
      </w:r>
      <w:proofErr w:type="gramEnd"/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Стипендия </w:t>
      </w:r>
      <w:r>
        <w:rPr>
          <w:rFonts w:ascii="Times New Roman" w:hAnsi="Times New Roman" w:cs="Times New Roman"/>
          <w:sz w:val="26"/>
          <w:szCs w:val="26"/>
        </w:rPr>
        <w:t>– отмечалась обучающимся, получающим стипендию, включая стипендии, выплачиваемые обучающимся, направленным на обучение предприятием или организацией, службой занятости.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Сбережения, дивиденды, проценты, ссуды, реализация капитала </w:t>
      </w:r>
      <w:r>
        <w:rPr>
          <w:rFonts w:ascii="Times New Roman" w:hAnsi="Times New Roman" w:cs="Times New Roman"/>
          <w:sz w:val="26"/>
          <w:szCs w:val="26"/>
        </w:rPr>
        <w:t>– отмечались тем, для кого источником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</w:t>
      </w:r>
      <w:r>
        <w:rPr>
          <w:rFonts w:ascii="Times New Roman" w:hAnsi="Times New Roman" w:cs="Times New Roman"/>
          <w:sz w:val="26"/>
          <w:szCs w:val="26"/>
        </w:rPr>
        <w:lastRenderedPageBreak/>
        <w:t>также тем, кто получает дивиденды и проценты по денежным вкладам и ценным бумагам.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Сдача в аренду имущества </w:t>
      </w:r>
      <w:r>
        <w:rPr>
          <w:rFonts w:ascii="Times New Roman" w:hAnsi="Times New Roman" w:cs="Times New Roman"/>
          <w:sz w:val="26"/>
          <w:szCs w:val="26"/>
        </w:rPr>
        <w:t>– отмечалась тем, кто получает доход 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Доход от патентов, авторских прав </w:t>
      </w:r>
      <w:r>
        <w:rPr>
          <w:rFonts w:ascii="Times New Roman" w:hAnsi="Times New Roman" w:cs="Times New Roman"/>
          <w:sz w:val="26"/>
          <w:szCs w:val="26"/>
        </w:rPr>
        <w:t>– отмечался тем, кто имеет  вознаграждение, выплачиваемое автору или его наследникам за использование научных открытий, литературных произведений или произведений искусства.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Обеспечение со стороны других лиц, иждивение</w:t>
      </w:r>
      <w:r>
        <w:rPr>
          <w:rFonts w:ascii="Times New Roman" w:hAnsi="Times New Roman" w:cs="Times New Roman"/>
          <w:sz w:val="26"/>
          <w:szCs w:val="26"/>
        </w:rPr>
        <w:t xml:space="preserve"> – отмечалось живущим на средства родителей, супруг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и), детей,  других родственников или других лиц, а также тем, на кого выплачиваются алименты.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Иной источник</w:t>
      </w:r>
      <w:r>
        <w:rPr>
          <w:rFonts w:ascii="Times New Roman" w:hAnsi="Times New Roman" w:cs="Times New Roman"/>
          <w:sz w:val="26"/>
          <w:szCs w:val="26"/>
        </w:rPr>
        <w:t xml:space="preserve"> – отмечался тем, у кого источником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уществованию является что-то иное, не перечисленное выше (например, попрошайничество).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таблицах 1 и 2 содержится информация обо всех имевшихся у населения источниках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sz w:val="26"/>
          <w:szCs w:val="26"/>
        </w:rPr>
        <w:t>уществованию. При переписи 9% населения указали больше одного источника, поэтому число источников превышает численность населения, указавшего источники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уществованию.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таблицах 3 и 4 публикуются данные об основном источнике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уществованию населения, полученные на основе ответов на вопрос 17.1  «Какой из отмеченных источников Вы считаете для себя основным?» переписного листа формы Л.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Возраст.</w:t>
      </w:r>
      <w:r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приводятся данные по укрупненным возрастным группам: моложе трудоспособного возраста – дети и подростки до 16 лет;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межпереписной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 пенсионного возраста: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>
        <w:tc>
          <w:tcPr>
            <w:tcW w:w="2633" w:type="dxa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>
        <w:tc>
          <w:tcPr>
            <w:tcW w:w="2633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16-61,5 лет, женщины 16-56,5 лет</w:t>
            </w: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16-59 лет,</w:t>
            </w:r>
          </w:p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16-54 лет</w:t>
            </w:r>
          </w:p>
        </w:tc>
      </w:tr>
      <w:tr>
        <w:tc>
          <w:tcPr>
            <w:tcW w:w="2633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 60 лет и более,</w:t>
            </w:r>
          </w:p>
          <w:p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 55 лет и более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Городскими населенными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>
      <w:pPr>
        <w:widowControl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sectPr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table" w:styleId="af3">
    <w:name w:val="Table Grid"/>
    <w:basedOn w:val="a1"/>
    <w:uiPriority w:val="39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Бердяева Таня Аслангериевна</cp:lastModifiedBy>
  <cp:revision>6</cp:revision>
  <cp:lastPrinted>2022-09-07T08:39:00Z</cp:lastPrinted>
  <dcterms:created xsi:type="dcterms:W3CDTF">2022-09-26T12:39:00Z</dcterms:created>
  <dcterms:modified xsi:type="dcterms:W3CDTF">2022-12-05T06:54:00Z</dcterms:modified>
</cp:coreProperties>
</file>